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Lines="50" w:afterLines="100" w:line="360" w:lineRule="auto"/>
        <w:jc w:val="center"/>
        <w:textAlignment w:val="auto"/>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江门市一次性塑料餐饮具</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keepNext w:val="0"/>
        <w:keepLines w:val="0"/>
        <w:pageBreakBefore w:val="0"/>
        <w:widowControl/>
        <w:kinsoku/>
        <w:wordWrap/>
        <w:overflowPunct/>
        <w:topLinePunct w:val="0"/>
        <w:autoSpaceDE/>
        <w:autoSpaceDN/>
        <w:bidi w:val="0"/>
        <w:spacing w:line="360" w:lineRule="auto"/>
        <w:ind w:firstLine="420" w:firstLineChars="200"/>
        <w:jc w:val="left"/>
        <w:textAlignment w:val="auto"/>
        <w:rPr>
          <w:rFonts w:ascii="宋体" w:hAnsi="宋体"/>
          <w:color w:val="000000"/>
          <w:szCs w:val="21"/>
        </w:rPr>
      </w:pPr>
      <w:r>
        <w:rPr>
          <w:rFonts w:hint="eastAsia" w:ascii="宋体" w:hAnsi="宋体"/>
          <w:color w:val="000000"/>
          <w:szCs w:val="21"/>
        </w:rPr>
        <w:t>本细则适用于江门市生产环节中一次性塑料餐饮具的市级监督抽查,监督抽查产品范围一次性塑料餐</w:t>
      </w:r>
      <w:bookmarkStart w:id="0" w:name="_GoBack"/>
      <w:bookmarkEnd w:id="0"/>
      <w:r>
        <w:rPr>
          <w:rFonts w:hint="eastAsia" w:ascii="宋体" w:hAnsi="宋体"/>
          <w:color w:val="000000"/>
          <w:szCs w:val="21"/>
        </w:rPr>
        <w:t>饮具（碗、碟、杯、刀、叉、勺、饭盒、托等）。</w:t>
      </w:r>
    </w:p>
    <w:p>
      <w:pPr>
        <w:keepNext w:val="0"/>
        <w:keepLines w:val="0"/>
        <w:pageBreakBefore w:val="0"/>
        <w:kinsoku/>
        <w:wordWrap/>
        <w:overflowPunct/>
        <w:topLinePunct w:val="0"/>
        <w:autoSpaceDE/>
        <w:autoSpaceDN/>
        <w:bidi w:val="0"/>
        <w:snapToGrid w:val="0"/>
        <w:spacing w:line="360" w:lineRule="auto"/>
        <w:textAlignment w:val="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textAlignment w:val="auto"/>
        <w:rPr>
          <w:b/>
          <w:color w:val="000000"/>
          <w:sz w:val="24"/>
        </w:rPr>
      </w:pPr>
      <w:r>
        <w:rPr>
          <w:rFonts w:hint="eastAsia"/>
          <w:b/>
          <w:color w:val="000000"/>
          <w:sz w:val="24"/>
        </w:rPr>
        <w:t>1、抽样方法</w:t>
      </w:r>
    </w:p>
    <w:p>
      <w:pPr>
        <w:keepNext w:val="0"/>
        <w:keepLines w:val="0"/>
        <w:pageBreakBefore w:val="0"/>
        <w:widowControl/>
        <w:kinsoku/>
        <w:wordWrap/>
        <w:overflowPunct/>
        <w:topLinePunct w:val="0"/>
        <w:autoSpaceDE/>
        <w:autoSpaceDN/>
        <w:bidi w:val="0"/>
        <w:spacing w:line="360" w:lineRule="auto"/>
        <w:ind w:firstLine="420" w:firstLineChars="200"/>
        <w:jc w:val="left"/>
        <w:textAlignment w:val="auto"/>
        <w:rPr>
          <w:rFonts w:hint="eastAsia" w:ascii="宋体" w:hAnsi="宋体"/>
          <w:color w:val="000000"/>
          <w:szCs w:val="21"/>
        </w:rPr>
      </w:pPr>
      <w:r>
        <w:rPr>
          <w:rFonts w:hint="eastAsia" w:ascii="宋体" w:hAnsi="宋体"/>
          <w:color w:val="000000"/>
          <w:szCs w:val="21"/>
        </w:rPr>
        <w:t>以随机抽样的方式在被抽样生产者的待销产品中抽取。</w:t>
      </w:r>
    </w:p>
    <w:p>
      <w:pPr>
        <w:keepNext w:val="0"/>
        <w:keepLines w:val="0"/>
        <w:pageBreakBefore w:val="0"/>
        <w:widowControl/>
        <w:kinsoku/>
        <w:wordWrap/>
        <w:overflowPunct/>
        <w:topLinePunct w:val="0"/>
        <w:autoSpaceDE/>
        <w:autoSpaceDN/>
        <w:bidi w:val="0"/>
        <w:spacing w:line="360" w:lineRule="auto"/>
        <w:ind w:firstLine="420" w:firstLineChars="200"/>
        <w:jc w:val="left"/>
        <w:textAlignment w:val="auto"/>
        <w:rPr>
          <w:rFonts w:hint="eastAsia" w:ascii="宋体" w:hAnsi="宋体"/>
          <w:color w:val="000000"/>
          <w:szCs w:val="21"/>
        </w:rPr>
      </w:pPr>
      <w:r>
        <w:rPr>
          <w:rFonts w:hint="eastAsia" w:ascii="宋体" w:hAnsi="宋体"/>
          <w:color w:val="000000"/>
          <w:szCs w:val="21"/>
        </w:rPr>
        <w:t>随机数一般可使用随机数表、随机数骰子或扑克牌等方法产生。</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1"/>
        <w:rPr>
          <w:szCs w:val="21"/>
        </w:rPr>
      </w:pPr>
      <w:r>
        <w:rPr>
          <w:szCs w:val="21"/>
        </w:rPr>
        <w:t>每批次产品抽取不少于3份最小销售独立包装，每份样品抽样数量不少于</w:t>
      </w:r>
      <w:r>
        <w:rPr>
          <w:rFonts w:hint="eastAsia"/>
          <w:szCs w:val="21"/>
        </w:rPr>
        <w:t>40</w:t>
      </w:r>
      <w:r>
        <w:rPr>
          <w:szCs w:val="21"/>
        </w:rPr>
        <w:t>只（个），其中2份作为检验样品，1份作为备用样品。每份样品质量应不少于100g且与食品接触面的最小表面积应不小于10dm</w:t>
      </w:r>
      <w:r>
        <w:rPr>
          <w:szCs w:val="21"/>
          <w:vertAlign w:val="superscript"/>
        </w:rPr>
        <w:t>2</w:t>
      </w:r>
      <w:r>
        <w:rPr>
          <w:szCs w:val="21"/>
        </w:rPr>
        <w:t>（若最小销售包装不是40只（个）的整数倍，需按采样数折算，保证检样不少于80只（个），备样不少于40只（个），避免损坏原包装）</w:t>
      </w:r>
      <w:r>
        <w:rPr>
          <w:rFonts w:hint="eastAsia"/>
          <w:szCs w:val="21"/>
        </w:rPr>
        <w:t>。</w:t>
      </w:r>
    </w:p>
    <w:p>
      <w:pPr>
        <w:keepNext w:val="0"/>
        <w:keepLines w:val="0"/>
        <w:pageBreakBefore w:val="0"/>
        <w:kinsoku/>
        <w:wordWrap/>
        <w:overflowPunct/>
        <w:topLinePunct w:val="0"/>
        <w:autoSpaceDE/>
        <w:autoSpaceDN/>
        <w:bidi w:val="0"/>
        <w:snapToGrid w:val="0"/>
        <w:spacing w:line="360" w:lineRule="auto"/>
        <w:ind w:firstLine="420" w:firstLineChars="200"/>
        <w:textAlignment w:val="auto"/>
        <w:rPr>
          <w:rFonts w:ascii="宋体" w:hAnsi="宋体"/>
          <w:color w:val="000000"/>
          <w:szCs w:val="21"/>
        </w:rPr>
      </w:pPr>
      <w:r>
        <w:rPr>
          <w:rFonts w:hint="eastAsia" w:ascii="宋体" w:hAnsi="宋体"/>
          <w:color w:val="000000"/>
          <w:szCs w:val="21"/>
        </w:rPr>
        <w:t>注：需提供产品的标识或符合性声明。</w:t>
      </w:r>
    </w:p>
    <w:p>
      <w:pPr>
        <w:keepNext w:val="0"/>
        <w:keepLines w:val="0"/>
        <w:pageBreakBefore w:val="0"/>
        <w:kinsoku/>
        <w:wordWrap/>
        <w:overflowPunct/>
        <w:topLinePunct w:val="0"/>
        <w:autoSpaceDE/>
        <w:autoSpaceDN/>
        <w:bidi w:val="0"/>
        <w:snapToGrid w:val="0"/>
        <w:spacing w:line="360" w:lineRule="auto"/>
        <w:textAlignment w:val="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textAlignment w:val="auto"/>
        <w:rPr>
          <w:b/>
          <w:color w:val="000000"/>
          <w:sz w:val="24"/>
        </w:rPr>
      </w:pPr>
      <w:r>
        <w:rPr>
          <w:rFonts w:hint="eastAsia"/>
          <w:b/>
          <w:color w:val="000000"/>
          <w:sz w:val="24"/>
        </w:rPr>
        <w:t>2、检验依据</w:t>
      </w:r>
    </w:p>
    <w:p>
      <w:pPr>
        <w:keepNext w:val="0"/>
        <w:keepLines w:val="0"/>
        <w:pageBreakBefore w:val="0"/>
        <w:kinsoku/>
        <w:wordWrap/>
        <w:overflowPunct/>
        <w:topLinePunct w:val="0"/>
        <w:autoSpaceDE/>
        <w:autoSpaceDN/>
        <w:bidi w:val="0"/>
        <w:snapToGrid w:val="0"/>
        <w:spacing w:line="360" w:lineRule="auto"/>
        <w:ind w:firstLine="420" w:firstLineChars="200"/>
        <w:jc w:val="center"/>
        <w:textAlignment w:val="auto"/>
        <w:rPr>
          <w:color w:val="000000"/>
          <w:szCs w:val="21"/>
        </w:rPr>
      </w:pPr>
      <w:r>
        <w:rPr>
          <w:rFonts w:hint="eastAsia"/>
          <w:color w:val="000000"/>
          <w:szCs w:val="21"/>
        </w:rPr>
        <w:t xml:space="preserve">表1  </w:t>
      </w:r>
      <w:r>
        <w:rPr>
          <w:rFonts w:hint="eastAsia" w:ascii="宋体" w:hAnsi="宋体"/>
          <w:color w:val="000000"/>
          <w:szCs w:val="21"/>
        </w:rPr>
        <w:t>一次性塑料餐饮具</w:t>
      </w:r>
      <w:r>
        <w:rPr>
          <w:rFonts w:hint="eastAsia"/>
          <w:color w:val="000000"/>
          <w:szCs w:val="21"/>
        </w:rPr>
        <w:t>检验项目</w:t>
      </w:r>
    </w:p>
    <w:tbl>
      <w:tblPr>
        <w:tblStyle w:val="4"/>
        <w:tblW w:w="96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199"/>
        <w:gridCol w:w="1495"/>
        <w:gridCol w:w="2268"/>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序号</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检验项目</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检验依据</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检验方法</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感官要求</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GB4806.7</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GB4806.7</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2</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总迁移量</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GB4806.7</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31604.8</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3</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高锰酸钾消耗量</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GB4806.7</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31604.2</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4</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重金属（以Pb计）</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GB4806.7</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31604.9</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5</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脱色试验</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GB4806.7</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31604.7</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仅适用添加了着色剂的产品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6</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特定迁移量（以锑计）</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4806.6</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 xml:space="preserve">GB 31604.41 </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限PET材质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7</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特定迁移总量（以己内酰胺计）</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4806.6</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 xml:space="preserve">GB 31604.19 </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限PA材质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8</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氯乙烯特定迁移量</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4806.6</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 xml:space="preserve">GB 31604.31 </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限PVC材质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9</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大肠菌群</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GB/T 18006.1或</w:t>
            </w:r>
            <w:r>
              <w:rPr>
                <w:rFonts w:hint="eastAsia" w:ascii="宋体" w:hAnsi="宋体"/>
                <w:color w:val="000000"/>
                <w:szCs w:val="21"/>
              </w:rPr>
              <w:t>产品明示质量要求</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14934 附录B</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10</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致病菌（沙门氏菌）</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GB/T 18006.1或</w:t>
            </w:r>
            <w:r>
              <w:rPr>
                <w:rFonts w:hint="eastAsia" w:ascii="宋体" w:hAnsi="宋体"/>
                <w:color w:val="000000"/>
                <w:szCs w:val="21"/>
              </w:rPr>
              <w:t>产品明示质量要求</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14934 附录C</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11</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霉菌计数</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GB/T 18006.1或</w:t>
            </w:r>
            <w:r>
              <w:rPr>
                <w:rFonts w:hint="eastAsia" w:ascii="宋体" w:hAnsi="宋体"/>
                <w:color w:val="000000"/>
                <w:szCs w:val="21"/>
              </w:rPr>
              <w:t>产品明示质量要求</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 xml:space="preserve">GB 4789.15 </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12</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特定迁移总量（以对苯二甲酸计）</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4806.6</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cs="宋体"/>
                <w:szCs w:val="21"/>
              </w:rPr>
              <w:t>GB 31604.21</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限PET材质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13</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特定迁移总量（以乙二醇计）</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4806.6</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cs="宋体"/>
                <w:szCs w:val="21"/>
              </w:rPr>
              <w:t>GB 31604.44</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限PET材质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14</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1,3-丁二烯特定迁移量</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4806.6</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cs="宋体"/>
                <w:szCs w:val="21"/>
              </w:rPr>
              <w:t>GB 31604.12</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限有丁二烯单体的聚合物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15</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苯乙烯和乙苯残留量</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4806.6</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cs="宋体"/>
                <w:szCs w:val="21"/>
              </w:rPr>
              <w:t>GB 31604.16</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限PS材质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16</w:t>
            </w:r>
          </w:p>
        </w:tc>
        <w:tc>
          <w:tcPr>
            <w:tcW w:w="319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邻苯类增塑剂特定迁移量</w:t>
            </w:r>
          </w:p>
        </w:tc>
        <w:tc>
          <w:tcPr>
            <w:tcW w:w="14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4806.6</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napToGrid w:val="0"/>
              <w:spacing w:line="360" w:lineRule="auto"/>
              <w:jc w:val="center"/>
              <w:textAlignment w:val="auto"/>
              <w:rPr>
                <w:rFonts w:cs="宋体"/>
                <w:szCs w:val="21"/>
              </w:rPr>
            </w:pPr>
            <w:r>
              <w:rPr>
                <w:rFonts w:hint="eastAsia" w:cs="宋体"/>
                <w:szCs w:val="21"/>
              </w:rPr>
              <w:t>GB 31604.30</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outlineLvl w:val="0"/>
              <w:rPr>
                <w:rFonts w:cs="宋体"/>
                <w:szCs w:val="21"/>
              </w:rPr>
            </w:pPr>
            <w:r>
              <w:rPr>
                <w:rFonts w:hint="eastAsia" w:cs="宋体"/>
                <w:szCs w:val="21"/>
              </w:rPr>
              <w:t>限PVC材质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9621"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spacing w:line="360" w:lineRule="auto"/>
              <w:textAlignment w:val="auto"/>
              <w:outlineLvl w:val="0"/>
              <w:rPr>
                <w:rFonts w:cs="宋体"/>
                <w:szCs w:val="21"/>
              </w:rPr>
            </w:pPr>
            <w:r>
              <w:rPr>
                <w:rFonts w:hint="eastAsia" w:cs="宋体"/>
                <w:szCs w:val="21"/>
              </w:rPr>
              <w:t>注：本表中特定物质迁移限量或残留量项目应根据所生产产品的具体材质品种在GB 4806.6-2016标准及相关公告中的具体要求进行，如针对具体材质品种无该项要求，则不需要检验。</w:t>
            </w:r>
          </w:p>
        </w:tc>
      </w:tr>
    </w:tbl>
    <w:p>
      <w:pPr>
        <w:keepNext w:val="0"/>
        <w:keepLines w:val="0"/>
        <w:pageBreakBefore w:val="0"/>
        <w:widowControl/>
        <w:kinsoku/>
        <w:wordWrap/>
        <w:overflowPunct/>
        <w:topLinePunct w:val="0"/>
        <w:autoSpaceDE/>
        <w:autoSpaceDN/>
        <w:bidi w:val="0"/>
        <w:spacing w:line="360" w:lineRule="auto"/>
        <w:jc w:val="left"/>
        <w:textAlignment w:val="auto"/>
        <w:rPr>
          <w:b/>
        </w:rPr>
      </w:pP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cs="宋体"/>
          <w:szCs w:val="21"/>
        </w:rPr>
      </w:pPr>
      <w:r>
        <w:rPr>
          <w:rFonts w:hint="eastAsia" w:cs="宋体"/>
          <w:szCs w:val="21"/>
        </w:rPr>
        <w:t>执行企业标准、团体标准、地方标准的产品，检验项目参照上述内容执行。</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cs="宋体"/>
          <w:szCs w:val="21"/>
        </w:rPr>
      </w:pPr>
      <w:r>
        <w:rPr>
          <w:rFonts w:hint="eastAsia" w:cs="宋体"/>
          <w:szCs w:val="21"/>
        </w:rPr>
        <w:t>凡是注日期的文件，其随后所有的修改单（不包括勘误的内容）或修订版不适用于本细则。凡是不注日期的文件，其最新版本适用于本细则。</w:t>
      </w:r>
    </w:p>
    <w:p>
      <w:pPr>
        <w:keepNext w:val="0"/>
        <w:keepLines w:val="0"/>
        <w:pageBreakBefore w:val="0"/>
        <w:kinsoku/>
        <w:wordWrap/>
        <w:overflowPunct/>
        <w:topLinePunct w:val="0"/>
        <w:autoSpaceDE/>
        <w:autoSpaceDN/>
        <w:bidi w:val="0"/>
        <w:snapToGrid w:val="0"/>
        <w:spacing w:line="360" w:lineRule="auto"/>
        <w:textAlignment w:val="auto"/>
        <w:rPr>
          <w:rFonts w:hint="eastAsia"/>
          <w:b/>
          <w:color w:val="000000"/>
          <w:sz w:val="24"/>
        </w:rPr>
      </w:pPr>
    </w:p>
    <w:p>
      <w:pPr>
        <w:keepNext w:val="0"/>
        <w:keepLines w:val="0"/>
        <w:pageBreakBefore w:val="0"/>
        <w:kinsoku/>
        <w:wordWrap/>
        <w:overflowPunct/>
        <w:topLinePunct w:val="0"/>
        <w:autoSpaceDE/>
        <w:autoSpaceDN/>
        <w:bidi w:val="0"/>
        <w:snapToGrid w:val="0"/>
        <w:spacing w:line="360" w:lineRule="auto"/>
        <w:textAlignment w:val="auto"/>
        <w:rPr>
          <w:b/>
          <w:color w:val="000000"/>
          <w:sz w:val="24"/>
        </w:rPr>
      </w:pPr>
      <w:r>
        <w:rPr>
          <w:rFonts w:hint="eastAsia"/>
          <w:b/>
          <w:color w:val="000000"/>
          <w:sz w:val="24"/>
        </w:rPr>
        <w:t>3、判定规则</w:t>
      </w:r>
    </w:p>
    <w:p>
      <w:pPr>
        <w:keepNext w:val="0"/>
        <w:keepLines w:val="0"/>
        <w:pageBreakBefore w:val="0"/>
        <w:kinsoku/>
        <w:wordWrap/>
        <w:overflowPunct/>
        <w:topLinePunct w:val="0"/>
        <w:autoSpaceDE/>
        <w:autoSpaceDN/>
        <w:bidi w:val="0"/>
        <w:snapToGrid w:val="0"/>
        <w:spacing w:line="360" w:lineRule="auto"/>
        <w:textAlignment w:val="auto"/>
        <w:rPr>
          <w:rFonts w:ascii="宋体" w:hAnsi="宋体"/>
          <w:color w:val="000000"/>
          <w:szCs w:val="21"/>
        </w:rPr>
      </w:pPr>
      <w:r>
        <w:rPr>
          <w:rFonts w:hint="eastAsia" w:ascii="宋体" w:hAnsi="宋体"/>
          <w:color w:val="000000"/>
          <w:szCs w:val="21"/>
        </w:rPr>
        <w:t>3.1 依据标准</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cs="宋体"/>
          <w:szCs w:val="21"/>
        </w:rPr>
      </w:pPr>
      <w:r>
        <w:rPr>
          <w:rFonts w:hint="eastAsia" w:cs="宋体"/>
          <w:szCs w:val="21"/>
        </w:rPr>
        <w:t>GB 4806.6-2016 食品安全国家标准 食品接触用塑料树脂</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cs="宋体"/>
          <w:szCs w:val="21"/>
        </w:rPr>
      </w:pPr>
      <w:r>
        <w:rPr>
          <w:rFonts w:hint="eastAsia" w:cs="宋体"/>
          <w:szCs w:val="21"/>
        </w:rPr>
        <w:t>GB 4806.7-2016 食品安全国家标准 食品接触用塑料材料及制品</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cs="宋体"/>
          <w:szCs w:val="21"/>
        </w:rPr>
      </w:pPr>
      <w:r>
        <w:rPr>
          <w:rFonts w:hint="eastAsia" w:cs="宋体"/>
          <w:szCs w:val="21"/>
        </w:rPr>
        <w:t>GB 9685-2016 食品安全国家标准 食品接触材料及制品用添加剂使用标准</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cs="宋体"/>
          <w:szCs w:val="21"/>
        </w:rPr>
      </w:pPr>
      <w:r>
        <w:rPr>
          <w:rFonts w:hint="eastAsia" w:cs="宋体"/>
          <w:szCs w:val="21"/>
        </w:rPr>
        <w:t>GB 14934-2016 食品安全国家标准 消毒餐（饮）具</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cs="宋体"/>
          <w:szCs w:val="21"/>
        </w:rPr>
      </w:pPr>
      <w:r>
        <w:fldChar w:fldCharType="begin"/>
      </w:r>
      <w:r>
        <w:instrText xml:space="preserve"> HYPERLINK "http://www.bzsb.info/javascript:void(0);" </w:instrText>
      </w:r>
      <w:r>
        <w:fldChar w:fldCharType="separate"/>
      </w:r>
      <w:r>
        <w:rPr>
          <w:rFonts w:hint="eastAsia" w:cs="宋体"/>
          <w:szCs w:val="21"/>
        </w:rPr>
        <w:t>GB/T 18006.1-2009</w:t>
      </w:r>
      <w:r>
        <w:rPr>
          <w:rFonts w:hint="eastAsia" w:cs="宋体"/>
          <w:szCs w:val="21"/>
        </w:rPr>
        <w:fldChar w:fldCharType="end"/>
      </w:r>
      <w:r>
        <w:rPr>
          <w:rFonts w:hint="eastAsia"/>
        </w:rPr>
        <w:t xml:space="preserve"> </w:t>
      </w:r>
      <w:r>
        <w:rPr>
          <w:rFonts w:hint="eastAsia" w:cs="宋体"/>
          <w:szCs w:val="21"/>
        </w:rPr>
        <w:t>塑料一次性餐饮具通用技术要求</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cs="宋体"/>
          <w:szCs w:val="21"/>
        </w:rPr>
      </w:pPr>
      <w:r>
        <w:rPr>
          <w:rFonts w:hint="eastAsia" w:cs="宋体"/>
          <w:szCs w:val="21"/>
        </w:rPr>
        <w:t>现行有效的企业标准、团体标准、地方标准及产品明示质量要求</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olor w:val="000000"/>
          <w:szCs w:val="21"/>
        </w:rPr>
        <w:t>《食品相关产品生产许可实施细则（一）食品用塑料包装容器工具等制品部分》</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hAnsi="宋体" w:cs="宋体"/>
          <w:szCs w:val="21"/>
        </w:rPr>
      </w:pPr>
      <w:r>
        <w:rPr>
          <w:rFonts w:hint="eastAsia" w:ascii="宋体" w:hAnsi="宋体"/>
          <w:color w:val="000000"/>
          <w:szCs w:val="21"/>
        </w:rPr>
        <w:t>现行有效的企业标准、团体标准、地方标准及产品明示质量要求</w:t>
      </w:r>
    </w:p>
    <w:p>
      <w:pPr>
        <w:keepNext w:val="0"/>
        <w:keepLines w:val="0"/>
        <w:pageBreakBefore w:val="0"/>
        <w:kinsoku/>
        <w:wordWrap/>
        <w:overflowPunct/>
        <w:topLinePunct w:val="0"/>
        <w:autoSpaceDE/>
        <w:autoSpaceDN/>
        <w:bidi w:val="0"/>
        <w:snapToGrid w:val="0"/>
        <w:spacing w:line="360" w:lineRule="auto"/>
        <w:textAlignment w:val="auto"/>
        <w:outlineLvl w:val="0"/>
        <w:rPr>
          <w:rFonts w:ascii="宋体" w:hAnsi="宋体"/>
          <w:color w:val="000000"/>
          <w:szCs w:val="21"/>
        </w:rPr>
      </w:pPr>
      <w:r>
        <w:rPr>
          <w:rFonts w:hint="eastAsia" w:ascii="宋体" w:hAnsi="宋体"/>
          <w:color w:val="000000"/>
          <w:szCs w:val="21"/>
        </w:rPr>
        <w:t>3.2判定原则</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color w:val="000000"/>
          <w:szCs w:val="21"/>
        </w:rPr>
      </w:pPr>
      <w:r>
        <w:rPr>
          <w:rFonts w:hint="eastAsia"/>
          <w:color w:val="000000"/>
          <w:szCs w:val="21"/>
        </w:rPr>
        <w:t>经检验，检验项目全部合格，判定为被抽查产品所检项目未发现不合格；检验项目中任一项或一项以上不合格，判定为被抽查产品不合格。</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color w:val="000000"/>
          <w:szCs w:val="21"/>
        </w:rPr>
      </w:pPr>
      <w:r>
        <w:rPr>
          <w:rFonts w:hint="eastAsia"/>
          <w:color w:val="000000"/>
          <w:szCs w:val="21"/>
        </w:rPr>
        <w:t>若被检产品明示的质量要求高于本细则中检验项目依据的标准要求时，应按被检产品明示的质量要求判定。</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color w:val="000000"/>
          <w:szCs w:val="21"/>
        </w:rPr>
      </w:pPr>
      <w:r>
        <w:rPr>
          <w:rFonts w:hint="eastAsia"/>
          <w:color w:val="000000"/>
          <w:szCs w:val="21"/>
        </w:rPr>
        <w:t>若被检产品明示的质量要求低于本细则中检验项目依据的强制性标准要求时，应按照强制性标准要求判定。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color w:val="000000"/>
          <w:szCs w:val="21"/>
        </w:rPr>
      </w:pPr>
      <w:r>
        <w:rPr>
          <w:rFonts w:hint="eastAsia"/>
          <w:color w:val="000000"/>
          <w:szCs w:val="21"/>
        </w:rPr>
        <w:t>若被检产品明示的质量要求缺少本细则中检验项目依据的强制性标准要求时，应按照强制性标准要求判定。</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color w:val="000000"/>
          <w:szCs w:val="21"/>
        </w:rPr>
      </w:pPr>
      <w:r>
        <w:rPr>
          <w:rFonts w:hint="eastAsia"/>
          <w:color w:val="000000"/>
          <w:szCs w:val="21"/>
        </w:rPr>
        <w:t>若被检产品明示的质量要求缺少本细则中检验项目依据的推荐性标准要求时，该项目不参与判定。</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color w:val="000000"/>
          <w:szCs w:val="21"/>
        </w:rPr>
      </w:pPr>
      <w:r>
        <w:rPr>
          <w:rFonts w:hint="eastAsia"/>
          <w:color w:val="000000"/>
          <w:szCs w:val="21"/>
        </w:rPr>
        <w:t>根据GB 4789.1-2016 《食品安全国家标准 食品微生物学检验 总则》第7.3条规定“检验结果报告后，剩余样品和同批产品不进行微生物项目的复检”和卫健委“卫监督发[2005]515号”《健康相关产品国家卫生监督抽检规定》第十九条：“产品微生物指标超标的不予复检”的规定，微生物指标不合格不进行复检。</w:t>
      </w:r>
    </w:p>
    <w:p>
      <w:pPr>
        <w:keepNext w:val="0"/>
        <w:keepLines w:val="0"/>
        <w:pageBreakBefore w:val="0"/>
        <w:kinsoku/>
        <w:wordWrap/>
        <w:overflowPunct/>
        <w:topLinePunct w:val="0"/>
        <w:autoSpaceDE/>
        <w:autoSpaceDN/>
        <w:bidi w:val="0"/>
        <w:spacing w:line="360" w:lineRule="auto"/>
        <w:textAlignment w:val="auto"/>
        <w:rPr>
          <w:rFonts w:hint="eastAsia" w:ascii="文鼎小标宋简" w:hAnsi="宋体" w:eastAsia="文鼎小标宋简" w:cs="宋体"/>
          <w:bCs/>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文鼎小标宋简">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3C29"/>
    <w:rsid w:val="000703AD"/>
    <w:rsid w:val="00163C29"/>
    <w:rsid w:val="00192D47"/>
    <w:rsid w:val="002A422E"/>
    <w:rsid w:val="003133AB"/>
    <w:rsid w:val="003518A6"/>
    <w:rsid w:val="004D2989"/>
    <w:rsid w:val="00515A01"/>
    <w:rsid w:val="00BC26AE"/>
    <w:rsid w:val="00F776A5"/>
    <w:rsid w:val="4CE24375"/>
    <w:rsid w:val="79CC3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193</Words>
  <Characters>1104</Characters>
  <Lines>9</Lines>
  <Paragraphs>2</Paragraphs>
  <TotalTime>1</TotalTime>
  <ScaleCrop>false</ScaleCrop>
  <LinksUpToDate>false</LinksUpToDate>
  <CharactersWithSpaces>1295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2019-07-12T00:31:00Z</dcterms:created>
  <dc:creator>陈卓辉</dc:creator>
  <cp:lastModifiedBy>陈卓辉</cp:lastModifiedBy>
  <dcterms:modified xsi:type="dcterms:W3CDTF">2021-07-12T04:47:32Z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